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76C" w:rsidRPr="000950DB" w:rsidRDefault="0054276C" w:rsidP="0054276C">
      <w:pPr>
        <w:pageBreakBefore/>
        <w:spacing w:before="120" w:after="0" w:line="240" w:lineRule="auto"/>
        <w:jc w:val="both"/>
        <w:rPr>
          <w:color w:val="404040" w:themeColor="text1" w:themeTint="BF"/>
          <w:sz w:val="24"/>
          <w:szCs w:val="20"/>
        </w:rPr>
      </w:pPr>
      <w:r w:rsidRPr="000950DB">
        <w:rPr>
          <w:rStyle w:val="Fontepargpadro1"/>
          <w:b/>
          <w:caps/>
          <w:color w:val="404040" w:themeColor="text1" w:themeTint="BF"/>
          <w:sz w:val="24"/>
          <w:szCs w:val="20"/>
          <w:lang w:eastAsia="pt-BR"/>
        </w:rPr>
        <w:t>ENCONTRO 8 - Construir, aprender</w:t>
      </w:r>
      <w:r w:rsidR="00E01BD5">
        <w:rPr>
          <w:rStyle w:val="Fontepargpadro1"/>
          <w:b/>
          <w:caps/>
          <w:color w:val="404040" w:themeColor="text1" w:themeTint="BF"/>
          <w:sz w:val="24"/>
          <w:szCs w:val="20"/>
          <w:lang w:eastAsia="pt-BR"/>
        </w:rPr>
        <w:t xml:space="preserve"> de forma criativa, divertir-se:</w:t>
      </w:r>
      <w:r w:rsidRPr="000950DB">
        <w:rPr>
          <w:rStyle w:val="Fontepargpadro1"/>
          <w:caps/>
          <w:color w:val="404040" w:themeColor="text1" w:themeTint="BF"/>
          <w:sz w:val="24"/>
          <w:szCs w:val="20"/>
          <w:lang w:eastAsia="pt-BR"/>
        </w:rPr>
        <w:t xml:space="preserve"> </w:t>
      </w:r>
      <w:r w:rsidRPr="000950DB">
        <w:rPr>
          <w:rStyle w:val="Fontepargpadro1"/>
          <w:b/>
          <w:caps/>
          <w:color w:val="404040" w:themeColor="text1" w:themeTint="BF"/>
          <w:sz w:val="24"/>
          <w:szCs w:val="20"/>
          <w:lang w:eastAsia="pt-BR"/>
        </w:rPr>
        <w:t>O software Block Cad.</w:t>
      </w:r>
    </w:p>
    <w:p w:rsidR="0054276C" w:rsidRPr="000950DB" w:rsidRDefault="0054276C" w:rsidP="0054276C">
      <w:pPr>
        <w:spacing w:before="120" w:after="0" w:line="240" w:lineRule="auto"/>
        <w:ind w:firstLine="709"/>
        <w:jc w:val="both"/>
        <w:rPr>
          <w:color w:val="404040" w:themeColor="text1" w:themeTint="BF"/>
          <w:sz w:val="20"/>
          <w:szCs w:val="20"/>
        </w:rPr>
      </w:pPr>
      <w:r w:rsidRPr="000950DB">
        <w:rPr>
          <w:noProof/>
          <w:color w:val="404040" w:themeColor="text1" w:themeTint="BF"/>
          <w:sz w:val="20"/>
          <w:szCs w:val="20"/>
          <w:lang w:eastAsia="pt-B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1612900</wp:posOffset>
            </wp:positionH>
            <wp:positionV relativeFrom="line">
              <wp:posOffset>406400</wp:posOffset>
            </wp:positionV>
            <wp:extent cx="1845314" cy="1198248"/>
            <wp:effectExtent l="9528" t="9528" r="9528" b="9528"/>
            <wp:wrapSquare wrapText="bothSides" distT="0" distB="0" distL="0" distR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5314" cy="1198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276C" w:rsidRPr="000950DB" w:rsidRDefault="0054276C" w:rsidP="0054276C">
      <w:pPr>
        <w:spacing w:before="120" w:after="0" w:line="240" w:lineRule="auto"/>
        <w:ind w:firstLine="709"/>
        <w:jc w:val="both"/>
        <w:rPr>
          <w:color w:val="404040" w:themeColor="text1" w:themeTint="BF"/>
          <w:sz w:val="20"/>
          <w:szCs w:val="20"/>
          <w:lang w:eastAsia="pt-BR"/>
        </w:rPr>
      </w:pPr>
    </w:p>
    <w:p w:rsidR="0054276C" w:rsidRPr="000950DB" w:rsidRDefault="0054276C" w:rsidP="0054276C">
      <w:pPr>
        <w:spacing w:before="120" w:after="0" w:line="240" w:lineRule="auto"/>
        <w:ind w:firstLine="709"/>
        <w:jc w:val="both"/>
        <w:rPr>
          <w:color w:val="404040" w:themeColor="text1" w:themeTint="BF"/>
          <w:sz w:val="20"/>
          <w:szCs w:val="20"/>
          <w:lang w:eastAsia="pt-BR"/>
        </w:rPr>
      </w:pPr>
    </w:p>
    <w:p w:rsidR="0054276C" w:rsidRPr="000950DB" w:rsidRDefault="0054276C" w:rsidP="0054276C">
      <w:pPr>
        <w:spacing w:before="120" w:after="0" w:line="240" w:lineRule="auto"/>
        <w:ind w:firstLine="709"/>
        <w:jc w:val="both"/>
        <w:rPr>
          <w:color w:val="404040" w:themeColor="text1" w:themeTint="BF"/>
          <w:sz w:val="20"/>
          <w:szCs w:val="20"/>
          <w:lang w:eastAsia="pt-BR"/>
        </w:rPr>
      </w:pPr>
    </w:p>
    <w:p w:rsidR="0054276C" w:rsidRPr="000950DB" w:rsidRDefault="0054276C" w:rsidP="0054276C">
      <w:pPr>
        <w:spacing w:before="120" w:after="0" w:line="240" w:lineRule="auto"/>
        <w:ind w:firstLine="709"/>
        <w:jc w:val="both"/>
        <w:rPr>
          <w:color w:val="404040" w:themeColor="text1" w:themeTint="BF"/>
          <w:sz w:val="20"/>
          <w:szCs w:val="20"/>
          <w:lang w:eastAsia="pt-BR"/>
        </w:rPr>
      </w:pPr>
    </w:p>
    <w:p w:rsidR="0054276C" w:rsidRPr="000950DB" w:rsidRDefault="0054276C" w:rsidP="0054276C">
      <w:pPr>
        <w:spacing w:before="120" w:after="0" w:line="240" w:lineRule="auto"/>
        <w:ind w:firstLine="709"/>
        <w:jc w:val="both"/>
        <w:rPr>
          <w:color w:val="404040" w:themeColor="text1" w:themeTint="BF"/>
          <w:sz w:val="20"/>
          <w:szCs w:val="20"/>
          <w:lang w:eastAsia="pt-BR"/>
        </w:rPr>
      </w:pPr>
    </w:p>
    <w:p w:rsidR="0054276C" w:rsidRDefault="0054276C" w:rsidP="0054276C">
      <w:pPr>
        <w:spacing w:before="120" w:after="0" w:line="240" w:lineRule="auto"/>
        <w:ind w:firstLine="709"/>
        <w:jc w:val="both"/>
        <w:rPr>
          <w:color w:val="404040" w:themeColor="text1" w:themeTint="BF"/>
          <w:sz w:val="20"/>
          <w:szCs w:val="20"/>
          <w:lang w:eastAsia="pt-BR"/>
        </w:rPr>
      </w:pPr>
    </w:p>
    <w:p w:rsidR="00E859F8" w:rsidRPr="000950DB" w:rsidRDefault="00E859F8" w:rsidP="0054276C">
      <w:pPr>
        <w:spacing w:before="120" w:after="0" w:line="240" w:lineRule="auto"/>
        <w:ind w:firstLine="709"/>
        <w:jc w:val="both"/>
        <w:rPr>
          <w:color w:val="404040" w:themeColor="text1" w:themeTint="BF"/>
          <w:sz w:val="20"/>
          <w:szCs w:val="20"/>
          <w:lang w:eastAsia="pt-BR"/>
        </w:rPr>
      </w:pPr>
    </w:p>
    <w:p w:rsidR="0054276C" w:rsidRPr="000950DB" w:rsidRDefault="0054276C" w:rsidP="0054276C">
      <w:pPr>
        <w:spacing w:before="120" w:after="0" w:line="240" w:lineRule="auto"/>
        <w:jc w:val="both"/>
        <w:rPr>
          <w:color w:val="404040" w:themeColor="text1" w:themeTint="BF"/>
          <w:sz w:val="20"/>
          <w:szCs w:val="20"/>
          <w:lang w:eastAsia="pt-BR"/>
        </w:rPr>
      </w:pPr>
      <w:r w:rsidRPr="000950DB">
        <w:rPr>
          <w:color w:val="404040" w:themeColor="text1" w:themeTint="BF"/>
          <w:sz w:val="20"/>
          <w:szCs w:val="20"/>
          <w:lang w:eastAsia="pt-BR"/>
        </w:rPr>
        <w:t>As crianças e adolescentes que chegam às escolas hoje estão ávidas por novidades e nem sempre</w:t>
      </w:r>
      <w:r w:rsidRPr="000950DB">
        <w:rPr>
          <w:color w:val="404040" w:themeColor="text1" w:themeTint="BF"/>
          <w:sz w:val="20"/>
          <w:szCs w:val="20"/>
        </w:rPr>
        <w:t xml:space="preserve"> </w:t>
      </w:r>
      <w:r w:rsidRPr="000950DB">
        <w:rPr>
          <w:color w:val="404040" w:themeColor="text1" w:themeTint="BF"/>
          <w:sz w:val="20"/>
          <w:szCs w:val="20"/>
          <w:lang w:eastAsia="pt-BR"/>
        </w:rPr>
        <w:t>é tarefa fácil surpreendê-los. É um grande desafio para o professor trabalhar com esta nova geração, chamada de nativos digitais, que já nasceram num ambiente imbuído de tecnologia e de troca de informações rápidas e efêmeras. Segundo Marc Prensky, idealizador do termo, os nativos digitais são multitarefas, preferem imagens a textos, adquirem informação e constroem conhecimento não de forma linear, como nós imigrantes digitais, mas a partir de uma estrutura de organização própria, elencando assuntos e temas que lhes suscitem maior interesse para chegar a um resultado final. Preferem conhecer um novo objeto manipulando e explorando suas funcionalidades, não costumam consultar manuais. Trabalham melhor em rede, mas também gostam de recompensas imediatas e frequentes.</w:t>
      </w:r>
      <w:r w:rsidRPr="000950DB">
        <w:rPr>
          <w:color w:val="404040" w:themeColor="text1" w:themeTint="BF"/>
          <w:sz w:val="20"/>
          <w:szCs w:val="20"/>
        </w:rPr>
        <w:t xml:space="preserve"> </w:t>
      </w:r>
    </w:p>
    <w:p w:rsidR="0054276C" w:rsidRPr="000950DB" w:rsidRDefault="0054276C" w:rsidP="0054276C">
      <w:pPr>
        <w:spacing w:before="120" w:after="0" w:line="240" w:lineRule="auto"/>
        <w:jc w:val="both"/>
        <w:rPr>
          <w:color w:val="404040" w:themeColor="text1" w:themeTint="BF"/>
          <w:sz w:val="20"/>
          <w:szCs w:val="20"/>
          <w:lang w:eastAsia="pt-BR"/>
        </w:rPr>
      </w:pPr>
      <w:r w:rsidRPr="000950DB">
        <w:rPr>
          <w:color w:val="404040" w:themeColor="text1" w:themeTint="BF"/>
          <w:sz w:val="20"/>
          <w:szCs w:val="20"/>
          <w:lang w:eastAsia="pt-BR"/>
        </w:rPr>
        <w:t>Para o professor, imigrante digital, a tarefa de educar frente a esta nova realidade não é fácil! São alunos que estão imbuídos de uma carga de informação, com a qual muitas vezes não sabem lidar. Apesar de serem crianças e adolescentes antenados, com grande facilidade para trabalhar com a inovação, aprendem de forma diferente, o que exige do professor buscar outras formas de ensinar. É necessário mediar este processo estabelecendo uma relação de ensino e aprendizagem que promova a autorregulação</w:t>
      </w:r>
      <w:r w:rsidRPr="000950DB">
        <w:rPr>
          <w:color w:val="404040" w:themeColor="text1" w:themeTint="BF"/>
          <w:sz w:val="20"/>
          <w:szCs w:val="20"/>
        </w:rPr>
        <w:t xml:space="preserve"> </w:t>
      </w:r>
      <w:r w:rsidRPr="000950DB">
        <w:rPr>
          <w:color w:val="404040" w:themeColor="text1" w:themeTint="BF"/>
          <w:sz w:val="20"/>
          <w:szCs w:val="20"/>
          <w:lang w:eastAsia="pt-BR"/>
        </w:rPr>
        <w:t>do aluno na qual, sejam disponibilizados diferentes estratégias e situações de aprendizado, com a proposição de situações-problema desafiadoras que os instiguem a desenvolver suas habilidades e competências.</w:t>
      </w:r>
    </w:p>
    <w:p w:rsidR="0054276C" w:rsidRPr="000950DB" w:rsidRDefault="0054276C" w:rsidP="0054276C">
      <w:pPr>
        <w:spacing w:before="120" w:after="0" w:line="240" w:lineRule="auto"/>
        <w:jc w:val="both"/>
        <w:rPr>
          <w:color w:val="404040" w:themeColor="text1" w:themeTint="BF"/>
          <w:sz w:val="20"/>
          <w:szCs w:val="20"/>
          <w:lang w:eastAsia="pt-BR"/>
        </w:rPr>
      </w:pPr>
      <w:r w:rsidRPr="000950DB">
        <w:rPr>
          <w:color w:val="404040" w:themeColor="text1" w:themeTint="BF"/>
          <w:sz w:val="20"/>
          <w:szCs w:val="20"/>
        </w:rPr>
        <w:t xml:space="preserve"> </w:t>
      </w:r>
      <w:r w:rsidRPr="000950DB">
        <w:rPr>
          <w:color w:val="404040" w:themeColor="text1" w:themeTint="BF"/>
          <w:sz w:val="20"/>
          <w:szCs w:val="20"/>
          <w:lang w:eastAsia="pt-BR"/>
        </w:rPr>
        <w:t>Nesta perspectiva, o aluno bem preparado não é</w:t>
      </w:r>
      <w:r w:rsidRPr="000950DB">
        <w:rPr>
          <w:color w:val="404040" w:themeColor="text1" w:themeTint="BF"/>
          <w:sz w:val="20"/>
          <w:szCs w:val="20"/>
        </w:rPr>
        <w:t xml:space="preserve"> </w:t>
      </w:r>
      <w:r w:rsidRPr="000950DB">
        <w:rPr>
          <w:color w:val="404040" w:themeColor="text1" w:themeTint="BF"/>
          <w:sz w:val="20"/>
          <w:szCs w:val="20"/>
          <w:lang w:eastAsia="pt-BR"/>
        </w:rPr>
        <w:t>mais aquele que domina somente as capacidades leitora e escritora e o raciocínio matemático, embora estas ainda continuem sendo aquisições de suma importância. Para o novo contexto social, que se configura atualmente, é necessário que além destas, sejam desenvolvidas competências para criar, inovar, empreender, interagir, saber trabalhar com resolução de problemas de forma colaborativa, exercer cidadania, entre outras. A aquisição destas competências deve ocorrer na perspectiva da Educação 3.0, na qual professores e alunos constroem juntos conhecimentos, de forma colaborativa, num ambiente que instigue a curiosidade e a criatividade. O professor, neste sentido, é mentor de um processo que contribui para uma mudança significativa na forma de ensinar e aprender, promovendo práticas inovadoras que levem o aluno a sair da posiçã</w:t>
      </w:r>
      <w:r w:rsidR="004A556D">
        <w:rPr>
          <w:color w:val="404040" w:themeColor="text1" w:themeTint="BF"/>
          <w:sz w:val="20"/>
          <w:szCs w:val="20"/>
          <w:lang w:eastAsia="pt-BR"/>
        </w:rPr>
        <w:t>o de mero expectador, para ser protagonista</w:t>
      </w:r>
      <w:r w:rsidRPr="000950DB">
        <w:rPr>
          <w:color w:val="404040" w:themeColor="text1" w:themeTint="BF"/>
          <w:sz w:val="20"/>
          <w:szCs w:val="20"/>
          <w:lang w:eastAsia="pt-BR"/>
        </w:rPr>
        <w:t xml:space="preserve"> de seu próprio aprendizado.</w:t>
      </w:r>
    </w:p>
    <w:p w:rsidR="0054276C" w:rsidRPr="000950DB" w:rsidRDefault="0054276C" w:rsidP="0054276C">
      <w:pPr>
        <w:spacing w:before="120" w:after="0" w:line="240" w:lineRule="auto"/>
        <w:jc w:val="both"/>
        <w:rPr>
          <w:color w:val="404040" w:themeColor="text1" w:themeTint="BF"/>
          <w:sz w:val="20"/>
          <w:szCs w:val="20"/>
          <w:lang w:eastAsia="pt-BR"/>
        </w:rPr>
      </w:pPr>
      <w:r w:rsidRPr="000950DB">
        <w:rPr>
          <w:color w:val="404040" w:themeColor="text1" w:themeTint="BF"/>
          <w:sz w:val="20"/>
          <w:szCs w:val="20"/>
          <w:lang w:eastAsia="pt-BR"/>
        </w:rPr>
        <w:t>Preparar um aluno, neste novo cenário, é contribuir para que ele seja um cidadão crítico e reflexivo, que saiba opinar sobre questões globais, que tenha clareza de posicionamentos, que saiba organizar-se e relacionar-se com outras pessoas, sabendo respeitar as diferenças.</w:t>
      </w:r>
    </w:p>
    <w:p w:rsidR="0054276C" w:rsidRPr="000950DB" w:rsidRDefault="0054276C" w:rsidP="0054276C">
      <w:pPr>
        <w:spacing w:before="120" w:after="0" w:line="240" w:lineRule="auto"/>
        <w:jc w:val="both"/>
        <w:rPr>
          <w:color w:val="404040" w:themeColor="text1" w:themeTint="BF"/>
          <w:sz w:val="20"/>
          <w:szCs w:val="20"/>
        </w:rPr>
      </w:pPr>
      <w:r w:rsidRPr="000950DB">
        <w:rPr>
          <w:rStyle w:val="Fontepargpadro1"/>
          <w:color w:val="404040" w:themeColor="text1" w:themeTint="BF"/>
          <w:sz w:val="20"/>
          <w:szCs w:val="20"/>
          <w:lang w:eastAsia="pt-BR"/>
        </w:rPr>
        <w:t xml:space="preserve"> Estas são algumas das competências contidas na Aprendizagem Profunda, trabalhada no </w:t>
      </w:r>
      <w:r w:rsidR="004A556D" w:rsidRPr="000950DB">
        <w:rPr>
          <w:rStyle w:val="Fontepargpadro1"/>
          <w:color w:val="404040" w:themeColor="text1" w:themeTint="BF"/>
          <w:sz w:val="20"/>
          <w:szCs w:val="20"/>
          <w:lang w:eastAsia="pt-BR"/>
        </w:rPr>
        <w:t>início</w:t>
      </w:r>
      <w:r w:rsidRPr="000950DB">
        <w:rPr>
          <w:rStyle w:val="Fontepargpadro1"/>
          <w:color w:val="404040" w:themeColor="text1" w:themeTint="BF"/>
          <w:sz w:val="20"/>
          <w:szCs w:val="20"/>
          <w:lang w:eastAsia="pt-BR"/>
        </w:rPr>
        <w:t xml:space="preserve"> deste guia, que preconiza o desenvolvimento de três domínios de competências</w:t>
      </w:r>
      <w:r w:rsidRPr="000950DB">
        <w:rPr>
          <w:color w:val="404040" w:themeColor="text1" w:themeTint="BF"/>
          <w:sz w:val="20"/>
          <w:szCs w:val="20"/>
        </w:rPr>
        <w:t>: domínio cognitivo (pensamento), domínio intrapessoal (para dirigir sua vida e ter responsabilidade) e domínio interpessoal (para trabalhar em equipe e desenvolver outras competências relacionadas).</w:t>
      </w:r>
    </w:p>
    <w:p w:rsidR="0054276C" w:rsidRPr="000950DB" w:rsidRDefault="0054276C" w:rsidP="0054276C">
      <w:pPr>
        <w:spacing w:before="120" w:after="0" w:line="240" w:lineRule="auto"/>
        <w:jc w:val="both"/>
        <w:rPr>
          <w:color w:val="404040" w:themeColor="text1" w:themeTint="BF"/>
          <w:sz w:val="20"/>
          <w:szCs w:val="20"/>
          <w:lang w:eastAsia="pt-BR"/>
        </w:rPr>
      </w:pPr>
      <w:r w:rsidRPr="000950DB">
        <w:rPr>
          <w:color w:val="404040" w:themeColor="text1" w:themeTint="BF"/>
          <w:sz w:val="20"/>
          <w:szCs w:val="20"/>
          <w:lang w:eastAsia="pt-BR"/>
        </w:rPr>
        <w:t xml:space="preserve">Sendo assim, é muito importante criar, nas oportunidades de aprendizagem, “pontes” entre a vivência de aprendizagem que está sendo oportunizada aos alunos e o cotidiano deles, tornar o aprendizado lúdico e agradável, procurando organizar um ambiente seguro no qual sintam-se à vontade para </w:t>
      </w:r>
      <w:r w:rsidRPr="000950DB">
        <w:rPr>
          <w:color w:val="404040" w:themeColor="text1" w:themeTint="BF"/>
          <w:sz w:val="20"/>
          <w:szCs w:val="20"/>
          <w:lang w:eastAsia="pt-BR"/>
        </w:rPr>
        <w:lastRenderedPageBreak/>
        <w:t>expressar suas ideias e criatividade. Que seja proporcionado a eles situações em que possam trabalhar com resolução de problemas, pautados por questões que emergem da atualidade, com as quais eles têm ou</w:t>
      </w:r>
      <w:r w:rsidRPr="000950DB">
        <w:rPr>
          <w:color w:val="404040" w:themeColor="text1" w:themeTint="BF"/>
          <w:sz w:val="20"/>
          <w:szCs w:val="20"/>
        </w:rPr>
        <w:t xml:space="preserve"> </w:t>
      </w:r>
      <w:r w:rsidRPr="000950DB">
        <w:rPr>
          <w:color w:val="404040" w:themeColor="text1" w:themeTint="BF"/>
          <w:sz w:val="20"/>
          <w:szCs w:val="20"/>
          <w:lang w:eastAsia="pt-BR"/>
        </w:rPr>
        <w:t>deverão lidar.</w:t>
      </w:r>
    </w:p>
    <w:p w:rsidR="0054276C" w:rsidRPr="000950DB" w:rsidRDefault="0054276C" w:rsidP="0054276C">
      <w:pPr>
        <w:spacing w:before="120" w:after="0" w:line="240" w:lineRule="auto"/>
        <w:jc w:val="both"/>
        <w:rPr>
          <w:color w:val="404040" w:themeColor="text1" w:themeTint="BF"/>
          <w:sz w:val="20"/>
          <w:szCs w:val="20"/>
          <w:lang w:eastAsia="pt-BR"/>
        </w:rPr>
      </w:pPr>
      <w:r w:rsidRPr="000950DB">
        <w:rPr>
          <w:color w:val="404040" w:themeColor="text1" w:themeTint="BF"/>
          <w:sz w:val="20"/>
          <w:szCs w:val="20"/>
          <w:lang w:eastAsia="pt-BR"/>
        </w:rPr>
        <w:t>Para este fim, não serão raras as vezes que o professor precisará ter outro olhar para recursos, fatos e situações que não são propriamente educacionais, mas que possam contribuir para organização de uma outra lógica de aula, mais atrativa,</w:t>
      </w:r>
      <w:r w:rsidRPr="000950DB">
        <w:rPr>
          <w:color w:val="404040" w:themeColor="text1" w:themeTint="BF"/>
          <w:sz w:val="20"/>
          <w:szCs w:val="20"/>
        </w:rPr>
        <w:t xml:space="preserve"> </w:t>
      </w:r>
      <w:r w:rsidRPr="000950DB">
        <w:rPr>
          <w:color w:val="404040" w:themeColor="text1" w:themeTint="BF"/>
          <w:sz w:val="20"/>
          <w:szCs w:val="20"/>
          <w:lang w:eastAsia="pt-BR"/>
        </w:rPr>
        <w:t>lúdica e que de fato contribua para a construção do conhecimento de forma colaborativa. Sendo assim, será necessário perceber e conhecer a cultura infanto-juvenil, que é ampla, diversa, muito interessante, mas igualmente negligenciada nas práticas escolares. Trazer este universo para a escola pode proporcionar ao professor surpresas interessantes e revelar talentos que em outras situações ficariam no anonimato. O professor, ao se apropriar desta cultura, com olhar sensível e atento, paulatinamente irá ter maior segurança para selecionar temáticas e conteúdos próprios deste contexto e que podem ser transpostos para a dinâmica de ensino e aprendizagem.</w:t>
      </w:r>
    </w:p>
    <w:p w:rsidR="0054276C" w:rsidRPr="000950DB" w:rsidRDefault="0054276C" w:rsidP="0054276C">
      <w:pPr>
        <w:spacing w:before="120" w:after="0" w:line="240" w:lineRule="auto"/>
        <w:jc w:val="both"/>
        <w:rPr>
          <w:color w:val="404040" w:themeColor="text1" w:themeTint="BF"/>
          <w:sz w:val="20"/>
          <w:szCs w:val="20"/>
        </w:rPr>
      </w:pPr>
      <w:r w:rsidRPr="000950DB">
        <w:rPr>
          <w:rStyle w:val="Fontepargpadro1"/>
          <w:color w:val="404040" w:themeColor="text1" w:themeTint="BF"/>
          <w:sz w:val="20"/>
          <w:szCs w:val="20"/>
          <w:lang w:eastAsia="pt-BR"/>
        </w:rPr>
        <w:t>Como proposta para trabalh</w:t>
      </w:r>
      <w:r w:rsidR="00207EE4">
        <w:rPr>
          <w:rStyle w:val="Fontepargpadro1"/>
          <w:color w:val="404040" w:themeColor="text1" w:themeTint="BF"/>
          <w:sz w:val="20"/>
          <w:szCs w:val="20"/>
          <w:lang w:eastAsia="pt-BR"/>
        </w:rPr>
        <w:t>ar, na perspectiva tratada anteriormente</w:t>
      </w:r>
      <w:r w:rsidRPr="000950DB">
        <w:rPr>
          <w:rStyle w:val="Fontepargpadro1"/>
          <w:color w:val="404040" w:themeColor="text1" w:themeTint="BF"/>
          <w:sz w:val="20"/>
          <w:szCs w:val="20"/>
          <w:lang w:eastAsia="pt-BR"/>
        </w:rPr>
        <w:t xml:space="preserve">, apresentamos o software BlockCad, conhecido </w:t>
      </w:r>
      <w:r w:rsidRPr="000950DB">
        <w:rPr>
          <w:color w:val="404040" w:themeColor="text1" w:themeTint="BF"/>
          <w:sz w:val="20"/>
          <w:szCs w:val="20"/>
        </w:rPr>
        <w:t xml:space="preserve">na Internet e em revistas que divulgam jogos digitais e videogames como o “Lego para computador”. É um programa </w:t>
      </w:r>
      <w:r w:rsidRPr="000950DB">
        <w:rPr>
          <w:rStyle w:val="Fontepargpadro1"/>
          <w:i/>
          <w:color w:val="404040" w:themeColor="text1" w:themeTint="BF"/>
          <w:sz w:val="20"/>
          <w:szCs w:val="20"/>
        </w:rPr>
        <w:t xml:space="preserve">Open Source </w:t>
      </w:r>
      <w:r w:rsidRPr="000950DB">
        <w:rPr>
          <w:color w:val="404040" w:themeColor="text1" w:themeTint="BF"/>
          <w:sz w:val="20"/>
          <w:szCs w:val="20"/>
        </w:rPr>
        <w:t xml:space="preserve">e seu criador Ander Isaksson mantém um website </w:t>
      </w:r>
      <w:hyperlink r:id="rId9" w:tgtFrame="_top" w:history="1">
        <w:r w:rsidRPr="000950DB">
          <w:rPr>
            <w:rStyle w:val="Hiperligao"/>
            <w:color w:val="404040" w:themeColor="text1" w:themeTint="BF"/>
            <w:sz w:val="20"/>
            <w:szCs w:val="20"/>
          </w:rPr>
          <w:t>http://blockcad.net/</w:t>
        </w:r>
      </w:hyperlink>
      <w:r w:rsidRPr="000950DB">
        <w:rPr>
          <w:color w:val="404040" w:themeColor="text1" w:themeTint="BF"/>
          <w:sz w:val="20"/>
          <w:szCs w:val="20"/>
        </w:rPr>
        <w:t xml:space="preserve"> no qual é possível esclarecer dúvidas e ter acesso às novas peças e criações de todos aqueles que o utilizam.</w:t>
      </w:r>
    </w:p>
    <w:p w:rsidR="0054276C" w:rsidRPr="000950DB" w:rsidRDefault="0054276C" w:rsidP="0054276C">
      <w:pPr>
        <w:pStyle w:val="NormalWeb1"/>
        <w:shd w:val="clear" w:color="auto" w:fill="FFFFFF"/>
        <w:spacing w:before="120" w:after="0"/>
        <w:jc w:val="both"/>
        <w:rPr>
          <w:color w:val="404040" w:themeColor="text1" w:themeTint="BF"/>
          <w:sz w:val="20"/>
          <w:szCs w:val="20"/>
        </w:rPr>
      </w:pPr>
      <w:r w:rsidRPr="000950DB">
        <w:rPr>
          <w:rStyle w:val="Fontepargpadro1"/>
          <w:rFonts w:ascii="Calibri" w:hAnsi="Calibri"/>
          <w:color w:val="404040" w:themeColor="text1" w:themeTint="BF"/>
          <w:sz w:val="20"/>
          <w:szCs w:val="20"/>
        </w:rPr>
        <w:t xml:space="preserve">É um software para a construção de modelos virtuais com blocos de brinquedo do tipo “Lego”. Apresenta uma interface simples, comandada por meio do mouse e admite atalhos para acionar as funções rotineiras do programa. Suas principais funcionalidades permitem manipular blocos que se encaixam, que podem ser visualizados e manipulados tridimensionalmente, resultando na construção de objetos 3D. Os blocos presentes no software podem ser redimensionados, de acordo com a demanda do usuário, podendo ser alterado o quadro de cores e até torná-los transparentes. Ao final dos trabalhos, permite salvar estas criações e juntá-las a outros objetos anteriormente construídos, formando conjuntos maiores, como cidades fictícias, situações imaginárias, ilustração de histórias, como ocorrem com brinquedos similares no formato físico. É possível também fotografar as construções e capturá-las como imagens para inseri-las em outros documentos ou plataformas.  É de fácil instalação, mas também pode ser carregado num pen drive, CD Rom etc, funcionando assim como um </w:t>
      </w:r>
      <w:r w:rsidRPr="000950DB">
        <w:rPr>
          <w:rStyle w:val="Fontepargpadro1"/>
          <w:rFonts w:ascii="Calibri" w:hAnsi="Calibri" w:cs="Arial"/>
          <w:bCs/>
          <w:color w:val="404040" w:themeColor="text1" w:themeTint="BF"/>
          <w:sz w:val="20"/>
          <w:szCs w:val="20"/>
        </w:rPr>
        <w:t xml:space="preserve">aplicativo portátil, não </w:t>
      </w:r>
      <w:r w:rsidR="004A0040">
        <w:rPr>
          <w:rStyle w:val="Fontepargpadro1"/>
          <w:rFonts w:ascii="Calibri" w:hAnsi="Calibri" w:cs="Arial"/>
          <w:bCs/>
          <w:color w:val="404040" w:themeColor="text1" w:themeTint="BF"/>
          <w:sz w:val="20"/>
          <w:szCs w:val="20"/>
        </w:rPr>
        <w:t>requerendo a sua</w:t>
      </w:r>
      <w:r w:rsidRPr="000950DB">
        <w:rPr>
          <w:rStyle w:val="Fontepargpadro1"/>
          <w:rFonts w:ascii="Calibri" w:hAnsi="Calibri" w:cs="Arial"/>
          <w:bCs/>
          <w:color w:val="404040" w:themeColor="text1" w:themeTint="BF"/>
          <w:sz w:val="20"/>
          <w:szCs w:val="20"/>
        </w:rPr>
        <w:t xml:space="preserve"> instalação. </w:t>
      </w:r>
    </w:p>
    <w:p w:rsidR="0054276C" w:rsidRPr="000950DB" w:rsidRDefault="0054276C" w:rsidP="0054276C">
      <w:pPr>
        <w:spacing w:before="120" w:after="0" w:line="240" w:lineRule="auto"/>
        <w:jc w:val="both"/>
        <w:rPr>
          <w:color w:val="404040" w:themeColor="text1" w:themeTint="BF"/>
          <w:sz w:val="20"/>
          <w:szCs w:val="20"/>
        </w:rPr>
      </w:pPr>
      <w:r w:rsidRPr="000950DB">
        <w:rPr>
          <w:color w:val="404040" w:themeColor="text1" w:themeTint="BF"/>
          <w:sz w:val="20"/>
          <w:szCs w:val="20"/>
        </w:rPr>
        <w:t xml:space="preserve"> No Brasil ele é pouco conhecido como recurso digital para fins educativos. Na pesquisa de mestrado “A</w:t>
      </w:r>
      <w:r w:rsidRPr="000950DB">
        <w:rPr>
          <w:rStyle w:val="Fontepargpadro1"/>
          <w:rFonts w:cs="Arial"/>
          <w:color w:val="404040" w:themeColor="text1" w:themeTint="BF"/>
          <w:sz w:val="20"/>
          <w:szCs w:val="20"/>
        </w:rPr>
        <w:t xml:space="preserve">prendizagem da Geografia Escolar por meio da Informática Educativa”, de autoria da Gislaine Batista Munhoz, uma das autoras deste guia, o indicamos como um software privilegiado para desenvolvimento de conhecimento das relações espaciais, do raciocino lógico espacial, pensamento reversível e para aquisição das noções de tridimensionalidade e bidimensionalidade do espaço, lateralidade, visão oblíqua e vertical, conceitos estes basilares para a compreensão das noções cartográficas e, consecutivamente, o entendimento de um mapa. </w:t>
      </w:r>
    </w:p>
    <w:p w:rsidR="0054276C" w:rsidRPr="000950DB" w:rsidRDefault="0054276C" w:rsidP="0054276C">
      <w:pPr>
        <w:spacing w:before="120" w:after="0" w:line="240" w:lineRule="auto"/>
        <w:jc w:val="both"/>
        <w:rPr>
          <w:color w:val="404040" w:themeColor="text1" w:themeTint="BF"/>
          <w:sz w:val="20"/>
          <w:szCs w:val="20"/>
        </w:rPr>
      </w:pPr>
      <w:r w:rsidRPr="000950DB">
        <w:rPr>
          <w:rStyle w:val="Fontepargpadro1"/>
          <w:rFonts w:cs="Arial"/>
          <w:color w:val="404040" w:themeColor="text1" w:themeTint="BF"/>
          <w:sz w:val="20"/>
          <w:szCs w:val="20"/>
        </w:rPr>
        <w:t>Apesar de ser apresentado como um software de entretenimento, o BlockCad é bem mais que isso, suas ferramentas e funcionalidades permitem que sejam trabalhadas inúmeras habilidades, pois h</w:t>
      </w:r>
      <w:r w:rsidRPr="000950DB">
        <w:rPr>
          <w:color w:val="404040" w:themeColor="text1" w:themeTint="BF"/>
          <w:sz w:val="20"/>
          <w:szCs w:val="20"/>
        </w:rPr>
        <w:t>á vários recursos no software que possibilitam fazer cálculos de área, alteração de peças, redimensionamento de tamanho e mudança de cores, po</w:t>
      </w:r>
      <w:r w:rsidRPr="000950DB">
        <w:rPr>
          <w:rStyle w:val="Fontepargpadro1"/>
          <w:rFonts w:cs="Arial"/>
          <w:color w:val="404040" w:themeColor="text1" w:themeTint="BF"/>
          <w:sz w:val="20"/>
          <w:szCs w:val="20"/>
        </w:rPr>
        <w:t xml:space="preserve">dendo assim ser utilizado em disciplinas como artes, matemática, geometria, cálculo, desenho, dentre outras, abrindo </w:t>
      </w:r>
      <w:r w:rsidRPr="000950DB">
        <w:rPr>
          <w:color w:val="404040" w:themeColor="text1" w:themeTint="BF"/>
          <w:sz w:val="20"/>
          <w:szCs w:val="20"/>
        </w:rPr>
        <w:t xml:space="preserve">um leque de possibilidades educativas, que vão desde a simples construção de um bloco lógico a criação de cidades completas. </w:t>
      </w:r>
    </w:p>
    <w:p w:rsidR="0054276C" w:rsidRPr="000950DB" w:rsidRDefault="0054276C" w:rsidP="0054276C">
      <w:pPr>
        <w:spacing w:before="120" w:after="0" w:line="240" w:lineRule="auto"/>
        <w:jc w:val="both"/>
        <w:rPr>
          <w:color w:val="404040" w:themeColor="text1" w:themeTint="BF"/>
          <w:sz w:val="20"/>
          <w:szCs w:val="20"/>
        </w:rPr>
      </w:pPr>
      <w:r w:rsidRPr="000950DB">
        <w:rPr>
          <w:color w:val="404040" w:themeColor="text1" w:themeTint="BF"/>
          <w:sz w:val="20"/>
          <w:szCs w:val="20"/>
        </w:rPr>
        <w:t>Aliado a um bom plano de aula e respeitando o grau de dificuldade para cada faixa etária, pode abrir possibilidades para se trabalhar questões desafiadoras ligadas à cidadania, meio ambiente, gestão do tempo e espaço, relações humanas, o cotidiano do bairro e da cidade. Pode-se propor tarefas que envolvem um nível de complexidade menor, com a construção de objetos simples, por alunos pequenos, como também atividades mais complexas, para alunos maiores, podendo chegar a construção de sistemas, cidades inteiras, abrindo a possibilidade de se discutir questões mais profundas ligada ao deslocamento na cidade, acesso a bens públicos e transporte coletivo, o que também leva a exercitar a cidadania, como prevê a LDB (Lei de Diretrizes e Bases) da Educação brasileira.</w:t>
      </w:r>
    </w:p>
    <w:p w:rsidR="0054276C" w:rsidRPr="000950DB" w:rsidRDefault="0054276C" w:rsidP="0054276C">
      <w:pPr>
        <w:spacing w:before="120" w:after="0" w:line="240" w:lineRule="auto"/>
        <w:jc w:val="both"/>
        <w:rPr>
          <w:color w:val="404040" w:themeColor="text1" w:themeTint="BF"/>
          <w:sz w:val="20"/>
          <w:szCs w:val="20"/>
        </w:rPr>
      </w:pPr>
      <w:r w:rsidRPr="000950DB">
        <w:rPr>
          <w:color w:val="404040" w:themeColor="text1" w:themeTint="BF"/>
          <w:sz w:val="20"/>
          <w:szCs w:val="20"/>
        </w:rPr>
        <w:t xml:space="preserve">Imprescindível é que o plano de aula contenha ludicidade, desafios e a proposição de situações-problema que façam sentido para a vida dos educandos e que não seja aplicada de forma mecanicista. O </w:t>
      </w:r>
      <w:r w:rsidRPr="000950DB">
        <w:rPr>
          <w:color w:val="404040" w:themeColor="text1" w:themeTint="BF"/>
          <w:sz w:val="20"/>
          <w:szCs w:val="20"/>
        </w:rPr>
        <w:lastRenderedPageBreak/>
        <w:t>uso do software precisa estar contextualizado a uma temática, que desperte interesse e curiosidade, e que o produto da interação do aluno com este recurso seja a resposta para uma boa pergunta que o desafie a estabelecer relações dentro e fora da sala de aula, com colegas e professores, e que promova a construção de conhecimento para além da sala de aula e com o qual possa entender globalmente o seu cotidiano e o mundo à sua volta.</w:t>
      </w:r>
    </w:p>
    <w:p w:rsidR="0054276C" w:rsidRPr="000950DB" w:rsidRDefault="0054276C" w:rsidP="0054276C">
      <w:pPr>
        <w:pStyle w:val="PadraoTese"/>
        <w:tabs>
          <w:tab w:val="num" w:pos="709"/>
        </w:tabs>
        <w:spacing w:before="120" w:after="0" w:line="240" w:lineRule="auto"/>
        <w:ind w:left="0" w:firstLine="0"/>
        <w:rPr>
          <w:rFonts w:ascii="Calibri" w:hAnsi="Calibri"/>
          <w:b/>
          <w:color w:val="404040" w:themeColor="text1" w:themeTint="BF"/>
          <w:sz w:val="20"/>
          <w:szCs w:val="20"/>
        </w:rPr>
      </w:pPr>
    </w:p>
    <w:p w:rsidR="0054276C" w:rsidRPr="000950DB" w:rsidRDefault="0054276C" w:rsidP="00F27182">
      <w:pPr>
        <w:pStyle w:val="PadraoTese"/>
        <w:tabs>
          <w:tab w:val="num" w:pos="709"/>
        </w:tabs>
        <w:spacing w:before="120" w:after="0" w:line="276" w:lineRule="auto"/>
        <w:ind w:left="0" w:firstLine="0"/>
        <w:rPr>
          <w:rFonts w:cs="Peake"/>
          <w:bCs/>
          <w:color w:val="404040" w:themeColor="text1" w:themeTint="BF"/>
          <w:sz w:val="20"/>
          <w:szCs w:val="20"/>
        </w:rPr>
      </w:pPr>
      <w:r w:rsidRPr="000950DB">
        <w:rPr>
          <w:rFonts w:ascii="Calibri" w:hAnsi="Calibri"/>
          <w:b/>
          <w:color w:val="404040" w:themeColor="text1" w:themeTint="BF"/>
          <w:sz w:val="20"/>
          <w:szCs w:val="20"/>
        </w:rPr>
        <w:t>Bibliografia Complementar:</w:t>
      </w:r>
      <w:bookmarkStart w:id="0" w:name="_GoBack"/>
      <w:bookmarkEnd w:id="0"/>
    </w:p>
    <w:p w:rsidR="0054276C" w:rsidRPr="00E90959" w:rsidRDefault="0054276C" w:rsidP="00242D79">
      <w:pPr>
        <w:pStyle w:val="PargrafodaLista"/>
        <w:numPr>
          <w:ilvl w:val="0"/>
          <w:numId w:val="11"/>
        </w:numPr>
        <w:autoSpaceDN w:val="0"/>
        <w:spacing w:before="120" w:after="0"/>
        <w:jc w:val="both"/>
        <w:rPr>
          <w:color w:val="404040" w:themeColor="text1" w:themeTint="BF"/>
          <w:sz w:val="20"/>
          <w:szCs w:val="20"/>
        </w:rPr>
      </w:pPr>
      <w:r w:rsidRPr="00E90959">
        <w:rPr>
          <w:rStyle w:val="Fontepargpadro1"/>
          <w:rFonts w:cs="Peake"/>
          <w:b/>
          <w:bCs/>
          <w:color w:val="404040" w:themeColor="text1" w:themeTint="BF"/>
          <w:sz w:val="20"/>
          <w:szCs w:val="20"/>
        </w:rPr>
        <w:t>Block Cad</w:t>
      </w:r>
      <w:r w:rsidRPr="00E90959">
        <w:rPr>
          <w:rStyle w:val="Fontepargpadro1"/>
          <w:rFonts w:cs="Peake"/>
          <w:bCs/>
          <w:color w:val="404040" w:themeColor="text1" w:themeTint="BF"/>
          <w:sz w:val="20"/>
          <w:szCs w:val="20"/>
        </w:rPr>
        <w:t xml:space="preserve"> disponível em: </w:t>
      </w:r>
      <w:hyperlink r:id="rId10" w:tgtFrame="_top" w:history="1">
        <w:r w:rsidRPr="00E90959">
          <w:rPr>
            <w:rStyle w:val="Hiperligao"/>
            <w:rFonts w:cs="Peake"/>
            <w:bCs/>
            <w:color w:val="404040" w:themeColor="text1" w:themeTint="BF"/>
            <w:sz w:val="20"/>
            <w:szCs w:val="20"/>
          </w:rPr>
          <w:t>http://blockcad.net/</w:t>
        </w:r>
      </w:hyperlink>
      <w:r w:rsidR="00E90959">
        <w:rPr>
          <w:rStyle w:val="Fontepargpadro1"/>
          <w:rFonts w:cs="Peake"/>
          <w:bCs/>
          <w:color w:val="404040" w:themeColor="text1" w:themeTint="BF"/>
          <w:sz w:val="20"/>
          <w:szCs w:val="20"/>
        </w:rPr>
        <w:t>. A</w:t>
      </w:r>
      <w:r w:rsidRPr="00E90959">
        <w:rPr>
          <w:rStyle w:val="Fontepargpadro1"/>
          <w:rFonts w:cs="Peake"/>
          <w:bCs/>
          <w:color w:val="404040" w:themeColor="text1" w:themeTint="BF"/>
          <w:sz w:val="20"/>
          <w:szCs w:val="20"/>
        </w:rPr>
        <w:t xml:space="preserve">cessado em 28/01/2014. </w:t>
      </w:r>
    </w:p>
    <w:p w:rsidR="0054276C" w:rsidRPr="00E90959" w:rsidRDefault="0054276C" w:rsidP="00242D79">
      <w:pPr>
        <w:pStyle w:val="PargrafodaLista"/>
        <w:numPr>
          <w:ilvl w:val="0"/>
          <w:numId w:val="11"/>
        </w:numPr>
        <w:autoSpaceDN w:val="0"/>
        <w:spacing w:before="120" w:after="0"/>
        <w:rPr>
          <w:color w:val="404040" w:themeColor="text1" w:themeTint="BF"/>
          <w:sz w:val="20"/>
          <w:szCs w:val="20"/>
        </w:rPr>
      </w:pPr>
      <w:r w:rsidRPr="00E90959">
        <w:rPr>
          <w:rStyle w:val="Fontepargpadro1"/>
          <w:rFonts w:cs="Peake"/>
          <w:b/>
          <w:bCs/>
          <w:color w:val="404040" w:themeColor="text1" w:themeTint="BF"/>
          <w:sz w:val="20"/>
          <w:szCs w:val="20"/>
        </w:rPr>
        <w:t>Caixa de jogos/Block Cad</w:t>
      </w:r>
      <w:r w:rsidRPr="00E90959">
        <w:rPr>
          <w:rStyle w:val="Fontepargpadro1"/>
          <w:rFonts w:cs="Peake"/>
          <w:bCs/>
          <w:color w:val="404040" w:themeColor="text1" w:themeTint="BF"/>
          <w:sz w:val="20"/>
          <w:szCs w:val="20"/>
        </w:rPr>
        <w:t xml:space="preserve"> disponível em: </w:t>
      </w:r>
      <w:hyperlink r:id="rId11" w:tgtFrame="_top" w:history="1">
        <w:r w:rsidRPr="00E90959">
          <w:rPr>
            <w:rStyle w:val="Hiperligao"/>
            <w:rFonts w:cs="Peake"/>
            <w:bCs/>
            <w:color w:val="404040" w:themeColor="text1" w:themeTint="BF"/>
            <w:sz w:val="20"/>
            <w:szCs w:val="20"/>
          </w:rPr>
          <w:t>http://caixadejogos.blogspot.com.br/search/label/blockCad</w:t>
        </w:r>
      </w:hyperlink>
      <w:r w:rsidR="00E90959">
        <w:rPr>
          <w:rStyle w:val="Fontepargpadro1"/>
          <w:rFonts w:cs="Peake"/>
          <w:bCs/>
          <w:color w:val="404040" w:themeColor="text1" w:themeTint="BF"/>
          <w:sz w:val="20"/>
          <w:szCs w:val="20"/>
        </w:rPr>
        <w:t>. A</w:t>
      </w:r>
      <w:r w:rsidR="004A0040">
        <w:rPr>
          <w:rStyle w:val="Fontepargpadro1"/>
          <w:rFonts w:cs="Peake"/>
          <w:bCs/>
          <w:color w:val="404040" w:themeColor="text1" w:themeTint="BF"/>
          <w:sz w:val="20"/>
          <w:szCs w:val="20"/>
        </w:rPr>
        <w:t>cessado</w:t>
      </w:r>
      <w:r w:rsidRPr="00E90959">
        <w:rPr>
          <w:rStyle w:val="Fontepargpadro1"/>
          <w:rFonts w:cs="Peake"/>
          <w:bCs/>
          <w:color w:val="404040" w:themeColor="text1" w:themeTint="BF"/>
          <w:sz w:val="20"/>
          <w:szCs w:val="20"/>
        </w:rPr>
        <w:t xml:space="preserve"> em 08/02/2014.</w:t>
      </w:r>
    </w:p>
    <w:p w:rsidR="0054276C" w:rsidRPr="00E90959" w:rsidRDefault="0054276C" w:rsidP="00242D79">
      <w:pPr>
        <w:pStyle w:val="PargrafodaLista"/>
        <w:numPr>
          <w:ilvl w:val="0"/>
          <w:numId w:val="11"/>
        </w:numPr>
        <w:spacing w:before="120" w:after="0"/>
        <w:jc w:val="both"/>
        <w:rPr>
          <w:color w:val="404040" w:themeColor="text1" w:themeTint="BF"/>
          <w:sz w:val="20"/>
          <w:szCs w:val="20"/>
        </w:rPr>
      </w:pPr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>MORAN, José Manuel.</w:t>
      </w:r>
      <w:r w:rsidRPr="00E90959">
        <w:rPr>
          <w:rStyle w:val="apple-converted-space"/>
          <w:rFonts w:cs="Arial"/>
          <w:color w:val="404040" w:themeColor="text1" w:themeTint="BF"/>
          <w:sz w:val="20"/>
          <w:szCs w:val="20"/>
          <w:shd w:val="clear" w:color="auto" w:fill="FFFFFF"/>
        </w:rPr>
        <w:t> </w:t>
      </w:r>
      <w:r w:rsidRPr="00E90959">
        <w:rPr>
          <w:rStyle w:val="Fontepargpadro1"/>
          <w:rFonts w:cs="Arial"/>
          <w:b/>
          <w:bCs/>
          <w:color w:val="404040" w:themeColor="text1" w:themeTint="BF"/>
          <w:sz w:val="20"/>
          <w:szCs w:val="20"/>
          <w:shd w:val="clear" w:color="auto" w:fill="FFFFFF"/>
        </w:rPr>
        <w:t>Novas tecnologias e mediação pedagógica</w:t>
      </w:r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>. Papirus Editora, 2009.</w:t>
      </w:r>
    </w:p>
    <w:p w:rsidR="0054276C" w:rsidRPr="00E90959" w:rsidRDefault="0054276C" w:rsidP="00242D79">
      <w:pPr>
        <w:pStyle w:val="PargrafodaLista"/>
        <w:numPr>
          <w:ilvl w:val="0"/>
          <w:numId w:val="11"/>
        </w:numPr>
        <w:autoSpaceDN w:val="0"/>
        <w:spacing w:before="120" w:after="0"/>
        <w:jc w:val="both"/>
        <w:rPr>
          <w:color w:val="404040" w:themeColor="text1" w:themeTint="BF"/>
          <w:sz w:val="20"/>
          <w:szCs w:val="20"/>
        </w:rPr>
      </w:pPr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 xml:space="preserve">MUNHOZ, Gislaine Batista. </w:t>
      </w:r>
      <w:r w:rsidRPr="00E90959">
        <w:rPr>
          <w:rStyle w:val="Fontepargpadro1"/>
          <w:rFonts w:cs="Arial"/>
          <w:b/>
          <w:color w:val="404040" w:themeColor="text1" w:themeTint="BF"/>
          <w:sz w:val="20"/>
          <w:szCs w:val="20"/>
          <w:shd w:val="clear" w:color="auto" w:fill="FFFFFF"/>
        </w:rPr>
        <w:t>Metodologias ativas na aprendizagem da cartografia escolar</w:t>
      </w:r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>.</w:t>
      </w:r>
      <w:r w:rsidRPr="00E90959">
        <w:rPr>
          <w:rStyle w:val="apple-converted-space"/>
          <w:rFonts w:cs="Arial"/>
          <w:color w:val="404040" w:themeColor="text1" w:themeTint="BF"/>
          <w:sz w:val="20"/>
          <w:szCs w:val="20"/>
          <w:shd w:val="clear" w:color="auto" w:fill="FFFFFF"/>
        </w:rPr>
        <w:t> </w:t>
      </w:r>
      <w:r w:rsidRPr="00E90959">
        <w:rPr>
          <w:rStyle w:val="Fontepargpadro1"/>
          <w:rFonts w:cs="Arial"/>
          <w:bCs/>
          <w:color w:val="404040" w:themeColor="text1" w:themeTint="BF"/>
          <w:sz w:val="20"/>
          <w:szCs w:val="20"/>
          <w:shd w:val="clear" w:color="auto" w:fill="FFFFFF"/>
        </w:rPr>
        <w:t>Anekumene</w:t>
      </w:r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>, v. 1, n. 2, p. 86-110, 2012.</w:t>
      </w:r>
    </w:p>
    <w:p w:rsidR="0054276C" w:rsidRPr="00E90959" w:rsidRDefault="0054276C" w:rsidP="00242D79">
      <w:pPr>
        <w:pStyle w:val="PargrafodaLista"/>
        <w:numPr>
          <w:ilvl w:val="0"/>
          <w:numId w:val="11"/>
        </w:numPr>
        <w:spacing w:before="120" w:after="0"/>
        <w:jc w:val="both"/>
        <w:rPr>
          <w:color w:val="404040" w:themeColor="text1" w:themeTint="BF"/>
          <w:sz w:val="20"/>
          <w:szCs w:val="20"/>
        </w:rPr>
      </w:pPr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 xml:space="preserve">MUNHOZ, Gislaine Batista. </w:t>
      </w:r>
      <w:r w:rsidRPr="00E90959">
        <w:rPr>
          <w:rStyle w:val="Fontepargpadro1"/>
          <w:rFonts w:cs="Arial"/>
          <w:b/>
          <w:color w:val="404040" w:themeColor="text1" w:themeTint="BF"/>
          <w:sz w:val="20"/>
          <w:szCs w:val="20"/>
          <w:shd w:val="clear" w:color="auto" w:fill="FFFFFF"/>
        </w:rPr>
        <w:t>A aprendizagem da Geografia Escolar por meio da Informática Educativa</w:t>
      </w:r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 xml:space="preserve"> (dissertação), São Paulo, 2006: São Paulo. Disponível em: </w:t>
      </w:r>
      <w:hyperlink r:id="rId12" w:tgtFrame="_top" w:history="1">
        <w:r w:rsidRPr="00E90959">
          <w:rPr>
            <w:rStyle w:val="Hiperligao"/>
            <w:rFonts w:cs="Arial"/>
            <w:color w:val="404040" w:themeColor="text1" w:themeTint="BF"/>
            <w:sz w:val="20"/>
            <w:szCs w:val="20"/>
            <w:shd w:val="clear" w:color="auto" w:fill="FFFFFF"/>
          </w:rPr>
          <w:t>https://drive.google.com/file/d/0B-yyqLfEHZKaTnkxaGhVbkVrSUk/edit?usp=sharing</w:t>
        </w:r>
      </w:hyperlink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 xml:space="preserve">, </w:t>
      </w:r>
    </w:p>
    <w:p w:rsidR="0054276C" w:rsidRPr="00E90959" w:rsidRDefault="0054276C" w:rsidP="00242D79">
      <w:pPr>
        <w:pStyle w:val="PargrafodaLista"/>
        <w:numPr>
          <w:ilvl w:val="0"/>
          <w:numId w:val="11"/>
        </w:numPr>
        <w:autoSpaceDN w:val="0"/>
        <w:spacing w:before="120" w:after="0"/>
        <w:jc w:val="both"/>
        <w:rPr>
          <w:color w:val="404040" w:themeColor="text1" w:themeTint="BF"/>
          <w:sz w:val="20"/>
          <w:szCs w:val="20"/>
        </w:rPr>
      </w:pPr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 xml:space="preserve">PRENSKY, Marc. </w:t>
      </w:r>
      <w:r w:rsidRPr="00E90959">
        <w:rPr>
          <w:rStyle w:val="Fontepargpadro1"/>
          <w:rFonts w:cs="Arial"/>
          <w:b/>
          <w:color w:val="404040" w:themeColor="text1" w:themeTint="BF"/>
          <w:sz w:val="20"/>
          <w:szCs w:val="20"/>
          <w:shd w:val="clear" w:color="auto" w:fill="FFFFFF"/>
        </w:rPr>
        <w:t>Não me atrapalhe, mãe – Eu estou aprendendo!</w:t>
      </w:r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>.</w:t>
      </w:r>
      <w:r w:rsidRPr="00E90959">
        <w:rPr>
          <w:rStyle w:val="apple-converted-space"/>
          <w:rFonts w:cs="Arial"/>
          <w:color w:val="404040" w:themeColor="text1" w:themeTint="BF"/>
          <w:sz w:val="20"/>
          <w:szCs w:val="20"/>
          <w:shd w:val="clear" w:color="auto" w:fill="FFFFFF"/>
        </w:rPr>
        <w:t> </w:t>
      </w:r>
      <w:r w:rsidRPr="00E90959">
        <w:rPr>
          <w:rStyle w:val="Fontepargpadro1"/>
          <w:rFonts w:cs="Arial"/>
          <w:bCs/>
          <w:color w:val="404040" w:themeColor="text1" w:themeTint="BF"/>
          <w:sz w:val="20"/>
          <w:szCs w:val="20"/>
          <w:shd w:val="clear" w:color="auto" w:fill="FFFFFF"/>
        </w:rPr>
        <w:t>São Paulo: Phorte</w:t>
      </w:r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>, 2010.</w:t>
      </w:r>
    </w:p>
    <w:p w:rsidR="0054276C" w:rsidRPr="00E90959" w:rsidRDefault="0054276C" w:rsidP="00242D79">
      <w:pPr>
        <w:pStyle w:val="PargrafodaLista"/>
        <w:numPr>
          <w:ilvl w:val="0"/>
          <w:numId w:val="11"/>
        </w:numPr>
        <w:autoSpaceDN w:val="0"/>
        <w:spacing w:before="120" w:after="0"/>
        <w:jc w:val="both"/>
        <w:rPr>
          <w:color w:val="404040" w:themeColor="text1" w:themeTint="BF"/>
          <w:sz w:val="20"/>
          <w:szCs w:val="20"/>
        </w:rPr>
      </w:pPr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 xml:space="preserve">SANTANA, Bianca; ROSSINI, Carolina; PRETTO, Nelson De Luca. </w:t>
      </w:r>
      <w:r w:rsidRPr="00E90959">
        <w:rPr>
          <w:rStyle w:val="Fontepargpadro1"/>
          <w:rFonts w:cs="Arial"/>
          <w:b/>
          <w:color w:val="404040" w:themeColor="text1" w:themeTint="BF"/>
          <w:sz w:val="20"/>
          <w:szCs w:val="20"/>
          <w:shd w:val="clear" w:color="auto" w:fill="FFFFFF"/>
        </w:rPr>
        <w:t>Recursos Educacionais Abertos: práticas colaborativas e políticas públicas</w:t>
      </w:r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>. In:</w:t>
      </w:r>
      <w:r w:rsid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 xml:space="preserve"> </w:t>
      </w:r>
      <w:r w:rsidRPr="00E90959">
        <w:rPr>
          <w:rStyle w:val="Fontepargpadro1"/>
          <w:rFonts w:cs="Arial"/>
          <w:bCs/>
          <w:color w:val="404040" w:themeColor="text1" w:themeTint="BF"/>
          <w:sz w:val="20"/>
          <w:szCs w:val="20"/>
          <w:shd w:val="clear" w:color="auto" w:fill="FFFFFF"/>
        </w:rPr>
        <w:t>Recursos educacionais abertos: práticas colaborativas e políticas públicas</w:t>
      </w:r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>. Edufba; Casa da Cultura Digital, 2012.</w:t>
      </w:r>
    </w:p>
    <w:p w:rsidR="0054276C" w:rsidRPr="00E90959" w:rsidRDefault="0054276C" w:rsidP="00242D79">
      <w:pPr>
        <w:pStyle w:val="PargrafodaLista"/>
        <w:numPr>
          <w:ilvl w:val="0"/>
          <w:numId w:val="11"/>
        </w:numPr>
        <w:autoSpaceDN w:val="0"/>
        <w:spacing w:before="120" w:after="0"/>
        <w:jc w:val="both"/>
        <w:rPr>
          <w:color w:val="404040" w:themeColor="text1" w:themeTint="BF"/>
          <w:sz w:val="20"/>
          <w:szCs w:val="20"/>
        </w:rPr>
      </w:pPr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 xml:space="preserve">SILVA, Robson Santos da. </w:t>
      </w:r>
      <w:r w:rsidRPr="00E90959">
        <w:rPr>
          <w:rStyle w:val="Fontepargpadro1"/>
          <w:rFonts w:cs="Arial"/>
          <w:b/>
          <w:color w:val="404040" w:themeColor="text1" w:themeTint="BF"/>
          <w:sz w:val="20"/>
          <w:szCs w:val="20"/>
          <w:shd w:val="clear" w:color="auto" w:fill="FFFFFF"/>
        </w:rPr>
        <w:t>Objetos de aprendizagem para educação a distância</w:t>
      </w:r>
      <w:r w:rsidRPr="00E90959">
        <w:rPr>
          <w:rStyle w:val="Fontepargpadro1"/>
          <w:rFonts w:cs="Arial"/>
          <w:color w:val="404040" w:themeColor="text1" w:themeTint="BF"/>
          <w:sz w:val="20"/>
          <w:szCs w:val="20"/>
          <w:shd w:val="clear" w:color="auto" w:fill="FFFFFF"/>
        </w:rPr>
        <w:t>. 2011.</w:t>
      </w:r>
    </w:p>
    <w:p w:rsidR="0054276C" w:rsidRPr="000950DB" w:rsidRDefault="0054276C" w:rsidP="0054276C">
      <w:pPr>
        <w:tabs>
          <w:tab w:val="left" w:pos="0"/>
        </w:tabs>
        <w:spacing w:before="120" w:after="0" w:line="240" w:lineRule="auto"/>
        <w:ind w:right="12"/>
        <w:jc w:val="both"/>
        <w:rPr>
          <w:color w:val="404040" w:themeColor="text1" w:themeTint="BF"/>
          <w:sz w:val="20"/>
          <w:szCs w:val="20"/>
        </w:rPr>
      </w:pPr>
    </w:p>
    <w:p w:rsidR="0054276C" w:rsidRPr="000950DB" w:rsidRDefault="0054276C" w:rsidP="0054276C">
      <w:pPr>
        <w:tabs>
          <w:tab w:val="left" w:pos="1275"/>
        </w:tabs>
        <w:spacing w:before="120" w:after="0" w:line="240" w:lineRule="auto"/>
        <w:ind w:right="12"/>
        <w:jc w:val="center"/>
        <w:rPr>
          <w:b/>
          <w:color w:val="404040" w:themeColor="text1" w:themeTint="BF"/>
          <w:sz w:val="20"/>
          <w:szCs w:val="20"/>
        </w:rPr>
      </w:pPr>
    </w:p>
    <w:p w:rsidR="0054276C" w:rsidRPr="000950DB" w:rsidRDefault="0054276C" w:rsidP="0054276C">
      <w:pPr>
        <w:spacing w:before="120" w:after="0" w:line="240" w:lineRule="auto"/>
        <w:rPr>
          <w:color w:val="404040" w:themeColor="text1" w:themeTint="BF"/>
          <w:sz w:val="20"/>
          <w:szCs w:val="20"/>
        </w:rPr>
      </w:pPr>
    </w:p>
    <w:p w:rsidR="002D1AC4" w:rsidRPr="0054276C" w:rsidRDefault="002D1AC4" w:rsidP="0054276C">
      <w:pPr>
        <w:rPr>
          <w:szCs w:val="20"/>
        </w:rPr>
      </w:pPr>
    </w:p>
    <w:sectPr w:rsidR="002D1AC4" w:rsidRPr="0054276C" w:rsidSect="002D1AC4">
      <w:footerReference w:type="default" r:id="rId13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81F" w:rsidRDefault="0034281F">
      <w:pPr>
        <w:spacing w:after="0" w:line="240" w:lineRule="auto"/>
      </w:pPr>
      <w:r>
        <w:separator/>
      </w:r>
    </w:p>
  </w:endnote>
  <w:endnote w:type="continuationSeparator" w:id="0">
    <w:p w:rsidR="0034281F" w:rsidRDefault="00342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eake">
    <w:altName w:val="Bold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86A" w:rsidRDefault="0063786A">
    <w:pPr>
      <w:pStyle w:val="Rodap"/>
    </w:pPr>
    <w:r w:rsidRPr="0063786A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12282" cy="574158"/>
          <wp:effectExtent l="19050" t="0" r="2363" b="0"/>
          <wp:wrapNone/>
          <wp:docPr id="10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81F" w:rsidRDefault="0034281F">
      <w:pPr>
        <w:spacing w:line="240" w:lineRule="auto"/>
      </w:pPr>
      <w:r>
        <w:separator/>
      </w:r>
    </w:p>
  </w:footnote>
  <w:footnote w:type="continuationSeparator" w:id="0">
    <w:p w:rsidR="0034281F" w:rsidRDefault="00342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235B3"/>
    <w:multiLevelType w:val="multilevel"/>
    <w:tmpl w:val="AA6A1E88"/>
    <w:lvl w:ilvl="0">
      <w:numFmt w:val="bullet"/>
      <w:lvlText w:val=""/>
      <w:lvlJc w:val="left"/>
      <w:pPr>
        <w:tabs>
          <w:tab w:val="num" w:pos="1428"/>
        </w:tabs>
        <w:suppressAutoHyphens/>
        <w:ind w:left="1428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2148"/>
        </w:tabs>
        <w:suppressAutoHyphens/>
        <w:ind w:left="2148" w:hanging="360"/>
      </w:pPr>
      <w:rPr>
        <w:rFonts w:ascii="Courier New" w:hAnsi="Courier New" w:cs="Courier New" w:hint="default"/>
        <w:sz w:val="20"/>
      </w:rPr>
    </w:lvl>
    <w:lvl w:ilvl="2">
      <w:numFmt w:val="bullet"/>
      <w:lvlText w:val=""/>
      <w:lvlJc w:val="left"/>
      <w:pPr>
        <w:tabs>
          <w:tab w:val="num" w:pos="2868"/>
        </w:tabs>
        <w:suppressAutoHyphens/>
        <w:ind w:left="2868" w:hanging="360"/>
      </w:pPr>
      <w:rPr>
        <w:rFonts w:ascii="Wingdings" w:hAnsi="Wingdings" w:hint="default"/>
        <w:sz w:val="20"/>
      </w:rPr>
    </w:lvl>
    <w:lvl w:ilvl="3">
      <w:numFmt w:val="bullet"/>
      <w:lvlText w:val=""/>
      <w:lvlJc w:val="left"/>
      <w:pPr>
        <w:tabs>
          <w:tab w:val="num" w:pos="3588"/>
        </w:tabs>
        <w:suppressAutoHyphens/>
        <w:ind w:left="3588" w:hanging="360"/>
      </w:pPr>
      <w:rPr>
        <w:rFonts w:ascii="Symbol" w:hAnsi="Symbol" w:hint="default"/>
        <w:sz w:val="20"/>
      </w:rPr>
    </w:lvl>
    <w:lvl w:ilvl="4">
      <w:numFmt w:val="bullet"/>
      <w:lvlText w:val="o"/>
      <w:lvlJc w:val="left"/>
      <w:pPr>
        <w:tabs>
          <w:tab w:val="num" w:pos="4308"/>
        </w:tabs>
        <w:suppressAutoHyphens/>
        <w:ind w:left="4308" w:hanging="360"/>
      </w:pPr>
      <w:rPr>
        <w:rFonts w:ascii="Courier New" w:hAnsi="Courier New" w:cs="Courier New" w:hint="default"/>
        <w:sz w:val="20"/>
      </w:rPr>
    </w:lvl>
    <w:lvl w:ilvl="5">
      <w:numFmt w:val="bullet"/>
      <w:lvlText w:val=""/>
      <w:lvlJc w:val="left"/>
      <w:pPr>
        <w:tabs>
          <w:tab w:val="num" w:pos="5028"/>
        </w:tabs>
        <w:suppressAutoHyphens/>
        <w:ind w:left="5028" w:hanging="360"/>
      </w:pPr>
      <w:rPr>
        <w:rFonts w:ascii="Wingdings" w:hAnsi="Wingdings" w:hint="default"/>
        <w:sz w:val="20"/>
      </w:rPr>
    </w:lvl>
    <w:lvl w:ilvl="6">
      <w:numFmt w:val="bullet"/>
      <w:lvlText w:val=""/>
      <w:lvlJc w:val="left"/>
      <w:pPr>
        <w:tabs>
          <w:tab w:val="num" w:pos="5748"/>
        </w:tabs>
        <w:suppressAutoHyphens/>
        <w:ind w:left="5748" w:hanging="360"/>
      </w:pPr>
      <w:rPr>
        <w:rFonts w:ascii="Symbol" w:hAnsi="Symbol" w:hint="default"/>
        <w:sz w:val="20"/>
      </w:rPr>
    </w:lvl>
    <w:lvl w:ilvl="7">
      <w:numFmt w:val="bullet"/>
      <w:lvlText w:val="o"/>
      <w:lvlJc w:val="left"/>
      <w:pPr>
        <w:tabs>
          <w:tab w:val="num" w:pos="6468"/>
        </w:tabs>
        <w:suppressAutoHyphens/>
        <w:ind w:left="6468" w:hanging="360"/>
      </w:pPr>
      <w:rPr>
        <w:rFonts w:ascii="Courier New" w:hAnsi="Courier New" w:cs="Courier New" w:hint="default"/>
        <w:sz w:val="20"/>
      </w:rPr>
    </w:lvl>
    <w:lvl w:ilvl="8">
      <w:numFmt w:val="bullet"/>
      <w:lvlText w:val=""/>
      <w:lvlJc w:val="left"/>
      <w:pPr>
        <w:tabs>
          <w:tab w:val="num" w:pos="7188"/>
        </w:tabs>
        <w:suppressAutoHyphens/>
        <w:ind w:left="7188" w:hanging="360"/>
      </w:pPr>
      <w:rPr>
        <w:rFonts w:ascii="Wingdings" w:hAnsi="Wingdings" w:hint="default"/>
        <w:sz w:val="20"/>
      </w:rPr>
    </w:lvl>
  </w:abstractNum>
  <w:abstractNum w:abstractNumId="1">
    <w:nsid w:val="165D1D28"/>
    <w:multiLevelType w:val="hybridMultilevel"/>
    <w:tmpl w:val="6ED44182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AB4110D"/>
    <w:multiLevelType w:val="hybridMultilevel"/>
    <w:tmpl w:val="B6348BB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3126D66"/>
    <w:multiLevelType w:val="multilevel"/>
    <w:tmpl w:val="84F65994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4">
    <w:nsid w:val="38A60A15"/>
    <w:multiLevelType w:val="multilevel"/>
    <w:tmpl w:val="E22E963E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5">
    <w:nsid w:val="3A5C0EAC"/>
    <w:multiLevelType w:val="hybridMultilevel"/>
    <w:tmpl w:val="2480BFA4"/>
    <w:lvl w:ilvl="0" w:tplc="0416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>
    <w:nsid w:val="3E3D709E"/>
    <w:multiLevelType w:val="hybridMultilevel"/>
    <w:tmpl w:val="7B9E04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761507"/>
    <w:multiLevelType w:val="multilevel"/>
    <w:tmpl w:val="E80CB8FC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8">
    <w:nsid w:val="52170568"/>
    <w:multiLevelType w:val="hybridMultilevel"/>
    <w:tmpl w:val="0ADE4D12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9">
    <w:nsid w:val="6BD80C70"/>
    <w:multiLevelType w:val="multilevel"/>
    <w:tmpl w:val="5F8CEDE0"/>
    <w:lvl w:ilvl="0">
      <w:numFmt w:val="none"/>
      <w:suff w:val="nothing"/>
      <w:lvlText w:val=""/>
      <w:lvlJc w:val="left"/>
      <w:pPr>
        <w:ind w:left="0"/>
      </w:pPr>
    </w:lvl>
    <w:lvl w:ilvl="1">
      <w:start w:val="1"/>
      <w:numFmt w:val="decimal"/>
      <w:pStyle w:val="Ttulo21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numFmt w:val="none"/>
      <w:suff w:val="nothing"/>
      <w:lvlText w:val=""/>
      <w:lvlJc w:val="left"/>
      <w:pPr>
        <w:ind w:left="0"/>
      </w:pPr>
    </w:lvl>
    <w:lvl w:ilvl="3">
      <w:numFmt w:val="none"/>
      <w:suff w:val="nothing"/>
      <w:lvlText w:val=""/>
      <w:lvlJc w:val="left"/>
      <w:pPr>
        <w:ind w:left="0"/>
      </w:pPr>
    </w:lvl>
    <w:lvl w:ilvl="4">
      <w:numFmt w:val="none"/>
      <w:suff w:val="nothing"/>
      <w:lvlText w:val=""/>
      <w:lvlJc w:val="left"/>
      <w:pPr>
        <w:ind w:left="0"/>
      </w:pPr>
    </w:lvl>
    <w:lvl w:ilvl="5">
      <w:numFmt w:val="none"/>
      <w:suff w:val="nothing"/>
      <w:lvlText w:val=""/>
      <w:lvlJc w:val="left"/>
      <w:pPr>
        <w:ind w:left="0"/>
      </w:pPr>
    </w:lvl>
    <w:lvl w:ilvl="6">
      <w:numFmt w:val="none"/>
      <w:suff w:val="nothing"/>
      <w:lvlText w:val=""/>
      <w:lvlJc w:val="left"/>
      <w:pPr>
        <w:ind w:left="0"/>
      </w:pPr>
    </w:lvl>
    <w:lvl w:ilvl="7">
      <w:numFmt w:val="none"/>
      <w:suff w:val="nothing"/>
      <w:lvlText w:val=""/>
      <w:lvlJc w:val="left"/>
      <w:pPr>
        <w:ind w:left="0"/>
      </w:pPr>
    </w:lvl>
    <w:lvl w:ilvl="8">
      <w:numFmt w:val="none"/>
      <w:suff w:val="nothing"/>
      <w:lvlText w:val=""/>
      <w:lvlJc w:val="left"/>
      <w:pPr>
        <w:ind w:left="0"/>
      </w:pPr>
    </w:lvl>
  </w:abstractNum>
  <w:abstractNum w:abstractNumId="10">
    <w:nsid w:val="73084A18"/>
    <w:multiLevelType w:val="multilevel"/>
    <w:tmpl w:val="75827DE0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2"/>
  </w:num>
  <w:num w:numId="8">
    <w:abstractNumId w:val="0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2D1AC4"/>
    <w:rsid w:val="0004507A"/>
    <w:rsid w:val="00207EE4"/>
    <w:rsid w:val="00242D79"/>
    <w:rsid w:val="002D1AC4"/>
    <w:rsid w:val="0034281F"/>
    <w:rsid w:val="003D3518"/>
    <w:rsid w:val="004157BC"/>
    <w:rsid w:val="004A0040"/>
    <w:rsid w:val="004A556D"/>
    <w:rsid w:val="004B2AA5"/>
    <w:rsid w:val="004F7225"/>
    <w:rsid w:val="0054276C"/>
    <w:rsid w:val="006033AA"/>
    <w:rsid w:val="0063786A"/>
    <w:rsid w:val="007B3500"/>
    <w:rsid w:val="007D241A"/>
    <w:rsid w:val="008C230F"/>
    <w:rsid w:val="00982703"/>
    <w:rsid w:val="00B27F6F"/>
    <w:rsid w:val="00B67B83"/>
    <w:rsid w:val="00D33A6B"/>
    <w:rsid w:val="00D45EA1"/>
    <w:rsid w:val="00E01BD5"/>
    <w:rsid w:val="00E859F8"/>
    <w:rsid w:val="00E90959"/>
    <w:rsid w:val="00F2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6899F6-12A1-4B4C-B041-2C7D0C47F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C4"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21">
    <w:name w:val="Título 21"/>
    <w:basedOn w:val="Normal"/>
    <w:qFormat/>
    <w:rsid w:val="002D1AC4"/>
    <w:pPr>
      <w:widowControl w:val="0"/>
      <w:numPr>
        <w:ilvl w:val="1"/>
        <w:numId w:val="1"/>
      </w:numPr>
      <w:spacing w:before="100" w:after="10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t-BR"/>
    </w:rPr>
  </w:style>
  <w:style w:type="character" w:customStyle="1" w:styleId="Fontepargpadro1">
    <w:name w:val="Fonte parág. padrão1"/>
    <w:qFormat/>
    <w:rsid w:val="002D1AC4"/>
  </w:style>
  <w:style w:type="paragraph" w:customStyle="1" w:styleId="Textodebalo1">
    <w:name w:val="Texto de balão1"/>
    <w:basedOn w:val="Normal"/>
    <w:qFormat/>
    <w:rsid w:val="002D1AC4"/>
    <w:pPr>
      <w:widowControl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1"/>
    <w:qFormat/>
    <w:rsid w:val="002D1AC4"/>
    <w:rPr>
      <w:rFonts w:ascii="Tahoma" w:hAnsi="Tahoma" w:cs="Tahoma"/>
      <w:sz w:val="16"/>
      <w:szCs w:val="16"/>
    </w:rPr>
  </w:style>
  <w:style w:type="character" w:styleId="Hiperligao">
    <w:name w:val="Hyperlink"/>
    <w:rsid w:val="002D1AC4"/>
    <w:rPr>
      <w:color w:val="000080"/>
      <w:u w:val="single"/>
    </w:rPr>
  </w:style>
  <w:style w:type="character" w:customStyle="1" w:styleId="apple-converted-space">
    <w:name w:val="apple-converted-space"/>
    <w:basedOn w:val="Fontepargpadro1"/>
    <w:qFormat/>
    <w:rsid w:val="002D1AC4"/>
  </w:style>
  <w:style w:type="paragraph" w:customStyle="1" w:styleId="NormalWeb1">
    <w:name w:val="Normal (Web)1"/>
    <w:basedOn w:val="Normal"/>
    <w:qFormat/>
    <w:rsid w:val="002D1AC4"/>
    <w:pPr>
      <w:widowControl w:val="0"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rgrafodaLista1">
    <w:name w:val="Parágrafo da Lista1"/>
    <w:basedOn w:val="Normal"/>
    <w:qFormat/>
    <w:rsid w:val="002D1AC4"/>
    <w:pPr>
      <w:widowControl w:val="0"/>
      <w:ind w:left="720"/>
    </w:pPr>
  </w:style>
  <w:style w:type="character" w:customStyle="1" w:styleId="Ttulo2Char">
    <w:name w:val="Título 2 Char"/>
    <w:basedOn w:val="Fontepargpadro1"/>
    <w:qFormat/>
    <w:rsid w:val="002D1AC4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notereference">
    <w:name w:val="note reference"/>
    <w:semiHidden/>
    <w:unhideWhenUsed/>
    <w:rsid w:val="002D1AC4"/>
  </w:style>
  <w:style w:type="paragraph" w:customStyle="1" w:styleId="notetext">
    <w:name w:val="note text"/>
    <w:semiHidden/>
    <w:unhideWhenUsed/>
    <w:rsid w:val="002D1AC4"/>
  </w:style>
  <w:style w:type="character" w:customStyle="1" w:styleId="notereference1">
    <w:name w:val="note reference_1"/>
    <w:semiHidden/>
    <w:unhideWhenUsed/>
    <w:rsid w:val="002D1AC4"/>
  </w:style>
  <w:style w:type="paragraph" w:customStyle="1" w:styleId="notetext1">
    <w:name w:val="note text_1"/>
    <w:semiHidden/>
    <w:unhideWhenUsed/>
    <w:rsid w:val="002D1AC4"/>
  </w:style>
  <w:style w:type="character" w:customStyle="1" w:styleId="WWCharLFO1LVL1">
    <w:name w:val="WW_CharLFO1LVL1"/>
    <w:qFormat/>
    <w:rsid w:val="002D1AC4"/>
    <w:rPr>
      <w:rFonts w:ascii="Symbol" w:hAnsi="Symbol"/>
    </w:rPr>
  </w:style>
  <w:style w:type="character" w:customStyle="1" w:styleId="WWCharLFO1LVL2">
    <w:name w:val="WW_CharLFO1LVL2"/>
    <w:qFormat/>
    <w:rsid w:val="002D1AC4"/>
    <w:rPr>
      <w:rFonts w:ascii="Courier New" w:hAnsi="Courier New" w:cs="Courier New"/>
    </w:rPr>
  </w:style>
  <w:style w:type="character" w:customStyle="1" w:styleId="WWCharLFO1LVL3">
    <w:name w:val="WW_CharLFO1LVL3"/>
    <w:qFormat/>
    <w:rsid w:val="002D1AC4"/>
    <w:rPr>
      <w:rFonts w:ascii="Wingdings" w:hAnsi="Wingdings"/>
    </w:rPr>
  </w:style>
  <w:style w:type="character" w:customStyle="1" w:styleId="WWCharLFO1LVL4">
    <w:name w:val="WW_CharLFO1LVL4"/>
    <w:qFormat/>
    <w:rsid w:val="002D1AC4"/>
    <w:rPr>
      <w:rFonts w:ascii="Symbol" w:hAnsi="Symbol"/>
    </w:rPr>
  </w:style>
  <w:style w:type="character" w:customStyle="1" w:styleId="WWCharLFO1LVL5">
    <w:name w:val="WW_CharLFO1LVL5"/>
    <w:qFormat/>
    <w:rsid w:val="002D1AC4"/>
    <w:rPr>
      <w:rFonts w:ascii="Courier New" w:hAnsi="Courier New" w:cs="Courier New"/>
    </w:rPr>
  </w:style>
  <w:style w:type="character" w:customStyle="1" w:styleId="WWCharLFO1LVL6">
    <w:name w:val="WW_CharLFO1LVL6"/>
    <w:qFormat/>
    <w:rsid w:val="002D1AC4"/>
    <w:rPr>
      <w:rFonts w:ascii="Wingdings" w:hAnsi="Wingdings"/>
    </w:rPr>
  </w:style>
  <w:style w:type="character" w:customStyle="1" w:styleId="WWCharLFO1LVL7">
    <w:name w:val="WW_CharLFO1LVL7"/>
    <w:qFormat/>
    <w:rsid w:val="002D1AC4"/>
    <w:rPr>
      <w:rFonts w:ascii="Symbol" w:hAnsi="Symbol"/>
    </w:rPr>
  </w:style>
  <w:style w:type="character" w:customStyle="1" w:styleId="WWCharLFO1LVL8">
    <w:name w:val="WW_CharLFO1LVL8"/>
    <w:qFormat/>
    <w:rsid w:val="002D1AC4"/>
    <w:rPr>
      <w:rFonts w:ascii="Courier New" w:hAnsi="Courier New" w:cs="Courier New"/>
    </w:rPr>
  </w:style>
  <w:style w:type="character" w:customStyle="1" w:styleId="WWCharLFO1LVL9">
    <w:name w:val="WW_CharLFO1LVL9"/>
    <w:qFormat/>
    <w:rsid w:val="002D1AC4"/>
    <w:rPr>
      <w:rFonts w:ascii="Wingdings" w:hAnsi="Wingdings"/>
    </w:rPr>
  </w:style>
  <w:style w:type="character" w:customStyle="1" w:styleId="WWCharLFO2LVL1">
    <w:name w:val="WW_CharLFO2LVL1"/>
    <w:qFormat/>
    <w:rsid w:val="002D1AC4"/>
    <w:rPr>
      <w:rFonts w:ascii="Symbol" w:hAnsi="Symbol"/>
    </w:rPr>
  </w:style>
  <w:style w:type="character" w:customStyle="1" w:styleId="WWCharLFO2LVL2">
    <w:name w:val="WW_CharLFO2LVL2"/>
    <w:qFormat/>
    <w:rsid w:val="002D1AC4"/>
    <w:rPr>
      <w:rFonts w:ascii="Courier New" w:hAnsi="Courier New" w:cs="Courier New"/>
    </w:rPr>
  </w:style>
  <w:style w:type="character" w:customStyle="1" w:styleId="WWCharLFO2LVL3">
    <w:name w:val="WW_CharLFO2LVL3"/>
    <w:qFormat/>
    <w:rsid w:val="002D1AC4"/>
    <w:rPr>
      <w:rFonts w:ascii="Wingdings" w:hAnsi="Wingdings"/>
    </w:rPr>
  </w:style>
  <w:style w:type="character" w:customStyle="1" w:styleId="WWCharLFO2LVL4">
    <w:name w:val="WW_CharLFO2LVL4"/>
    <w:qFormat/>
    <w:rsid w:val="002D1AC4"/>
    <w:rPr>
      <w:rFonts w:ascii="Symbol" w:hAnsi="Symbol"/>
    </w:rPr>
  </w:style>
  <w:style w:type="character" w:customStyle="1" w:styleId="WWCharLFO2LVL5">
    <w:name w:val="WW_CharLFO2LVL5"/>
    <w:qFormat/>
    <w:rsid w:val="002D1AC4"/>
    <w:rPr>
      <w:rFonts w:ascii="Courier New" w:hAnsi="Courier New" w:cs="Courier New"/>
    </w:rPr>
  </w:style>
  <w:style w:type="character" w:customStyle="1" w:styleId="WWCharLFO2LVL6">
    <w:name w:val="WW_CharLFO2LVL6"/>
    <w:qFormat/>
    <w:rsid w:val="002D1AC4"/>
    <w:rPr>
      <w:rFonts w:ascii="Wingdings" w:hAnsi="Wingdings"/>
    </w:rPr>
  </w:style>
  <w:style w:type="character" w:customStyle="1" w:styleId="WWCharLFO2LVL7">
    <w:name w:val="WW_CharLFO2LVL7"/>
    <w:qFormat/>
    <w:rsid w:val="002D1AC4"/>
    <w:rPr>
      <w:rFonts w:ascii="Symbol" w:hAnsi="Symbol"/>
    </w:rPr>
  </w:style>
  <w:style w:type="character" w:customStyle="1" w:styleId="WWCharLFO2LVL8">
    <w:name w:val="WW_CharLFO2LVL8"/>
    <w:qFormat/>
    <w:rsid w:val="002D1AC4"/>
    <w:rPr>
      <w:rFonts w:ascii="Courier New" w:hAnsi="Courier New" w:cs="Courier New"/>
    </w:rPr>
  </w:style>
  <w:style w:type="character" w:customStyle="1" w:styleId="WWCharLFO2LVL9">
    <w:name w:val="WW_CharLFO2LVL9"/>
    <w:qFormat/>
    <w:rsid w:val="002D1AC4"/>
    <w:rPr>
      <w:rFonts w:ascii="Wingdings" w:hAnsi="Wingdings"/>
    </w:rPr>
  </w:style>
  <w:style w:type="paragraph" w:customStyle="1" w:styleId="Graphics">
    <w:name w:val="Graphics"/>
    <w:qFormat/>
    <w:rsid w:val="002D1AC4"/>
  </w:style>
  <w:style w:type="character" w:styleId="Hiperligaovisitada">
    <w:name w:val="FollowedHyperlink"/>
    <w:rsid w:val="002D1AC4"/>
    <w:rPr>
      <w:color w:val="800080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D3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D351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semiHidden/>
    <w:unhideWhenUsed/>
    <w:rsid w:val="006378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63786A"/>
  </w:style>
  <w:style w:type="paragraph" w:styleId="Rodap">
    <w:name w:val="footer"/>
    <w:basedOn w:val="Normal"/>
    <w:link w:val="RodapCarter"/>
    <w:uiPriority w:val="99"/>
    <w:semiHidden/>
    <w:unhideWhenUsed/>
    <w:rsid w:val="006378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63786A"/>
  </w:style>
  <w:style w:type="paragraph" w:customStyle="1" w:styleId="Normal1">
    <w:name w:val="Normal1"/>
    <w:qFormat/>
    <w:rsid w:val="007B3500"/>
    <w:pPr>
      <w:widowControl w:val="0"/>
      <w:suppressAutoHyphens/>
    </w:pPr>
    <w:rPr>
      <w:rFonts w:cs="Calibri"/>
      <w:color w:val="000000"/>
      <w:lang w:eastAsia="pt-BR"/>
    </w:rPr>
  </w:style>
  <w:style w:type="paragraph" w:customStyle="1" w:styleId="PadraoTese">
    <w:name w:val="__PadraoTese"/>
    <w:basedOn w:val="Normal"/>
    <w:qFormat/>
    <w:rsid w:val="007B3500"/>
    <w:pPr>
      <w:widowControl w:val="0"/>
      <w:spacing w:after="240" w:line="360" w:lineRule="auto"/>
      <w:ind w:left="170" w:firstLine="567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207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file/d/0B-yyqLfEHZKaTnkxaGhVbkVrSUk/edit?usp=shar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ixadejogos.blogspot.com.br/search/label/blockCa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lockcad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lockcad.ne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53158C3-35B8-4B3D-8FF9-F3E1DA53895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1593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Mandaji</dc:creator>
  <cp:lastModifiedBy>Cheyenne</cp:lastModifiedBy>
  <cp:revision>14</cp:revision>
  <dcterms:created xsi:type="dcterms:W3CDTF">2014-05-15T01:44:00Z</dcterms:created>
  <dcterms:modified xsi:type="dcterms:W3CDTF">2014-05-29T21:58:00Z</dcterms:modified>
</cp:coreProperties>
</file>